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67" w:rsidRPr="00A904BC" w:rsidRDefault="006E5EE6" w:rsidP="00417B44">
      <w:pPr>
        <w:jc w:val="center"/>
        <w:rPr>
          <w:rFonts w:ascii="DIN Next W1G Light" w:hAnsi="DIN Next W1G Light"/>
          <w:b/>
          <w:caps/>
          <w:sz w:val="24"/>
          <w:lang w:val="lv-LV"/>
        </w:rPr>
      </w:pPr>
      <w:r>
        <w:rPr>
          <w:rFonts w:ascii="DIN Next W1G Light" w:hAnsi="DIN Next W1G Light"/>
          <w:b/>
          <w:caps/>
          <w:sz w:val="24"/>
        </w:rPr>
        <w:t xml:space="preserve">Инструкция к Ernest </w:t>
      </w:r>
      <w:r w:rsidR="00A904BC">
        <w:rPr>
          <w:rFonts w:ascii="DIN Next W1G Light" w:hAnsi="DIN Next W1G Light"/>
          <w:b/>
          <w:caps/>
          <w:sz w:val="24"/>
          <w:lang w:val="lv-LV"/>
        </w:rPr>
        <w:t xml:space="preserve">bluetooth </w:t>
      </w:r>
      <w:r w:rsidR="00A904BC" w:rsidRPr="00B17064">
        <w:rPr>
          <w:rFonts w:ascii="Arial" w:hAnsi="Arial" w:cs="Arial"/>
          <w:b/>
          <w:caps/>
          <w:sz w:val="24"/>
        </w:rPr>
        <w:t>ИММОБИЛАЙЗЕР</w:t>
      </w:r>
      <w:r w:rsidR="00A904BC">
        <w:rPr>
          <w:rFonts w:ascii="Arial" w:hAnsi="Arial" w:cs="Arial"/>
          <w:b/>
          <w:caps/>
          <w:sz w:val="24"/>
        </w:rPr>
        <w:t>А</w:t>
      </w:r>
    </w:p>
    <w:p w:rsidR="007D0316" w:rsidRPr="00A02052" w:rsidRDefault="007D0316" w:rsidP="00974A67">
      <w:pPr>
        <w:jc w:val="both"/>
        <w:rPr>
          <w:rFonts w:ascii="DIN Next W1G Light" w:hAnsi="DIN Next W1G Light"/>
          <w:b/>
          <w:caps/>
          <w:u w:val="single"/>
        </w:rPr>
      </w:pPr>
      <w:r>
        <w:rPr>
          <w:rFonts w:ascii="DIN Next W1G Light" w:hAnsi="DIN Next W1G Light"/>
          <w:b/>
          <w:caps/>
          <w:u w:val="single"/>
        </w:rPr>
        <w:t>Об ERNEST</w:t>
      </w:r>
    </w:p>
    <w:p w:rsidR="00C17216" w:rsidRDefault="00C17216" w:rsidP="00974A67">
      <w:pPr>
        <w:ind w:firstLine="720"/>
        <w:jc w:val="both"/>
        <w:rPr>
          <w:rFonts w:ascii="DIN Next W1G Light" w:hAnsi="DIN Next W1G Light"/>
          <w:lang w:val="lv-LV"/>
        </w:rPr>
      </w:pPr>
      <w:r>
        <w:rPr>
          <w:rFonts w:ascii="DIN Next W1G Light" w:hAnsi="DIN Next W1G Light"/>
        </w:rPr>
        <w:t xml:space="preserve">ERNEST </w:t>
      </w:r>
      <w:r w:rsidR="00A904BC">
        <w:rPr>
          <w:rFonts w:ascii="DIN Next W1G Light" w:hAnsi="DIN Next W1G Light"/>
          <w:lang w:val="lv-LV"/>
        </w:rPr>
        <w:t>Bluetooth Immobilizer</w:t>
      </w:r>
      <w:r>
        <w:rPr>
          <w:rFonts w:ascii="DIN Next W1G Light" w:hAnsi="DIN Next W1G Light"/>
        </w:rPr>
        <w:t> – это противоугонная система (иммобилайзер), которая защищает Ваш автомобиль</w:t>
      </w:r>
    </w:p>
    <w:p w:rsidR="00974A67" w:rsidRPr="00A02052" w:rsidRDefault="00C17216" w:rsidP="00974A67">
      <w:pPr>
        <w:ind w:firstLine="720"/>
        <w:jc w:val="both"/>
        <w:rPr>
          <w:rFonts w:ascii="DIN Next W1G Light" w:hAnsi="DIN Next W1G Light"/>
        </w:rPr>
      </w:pPr>
      <w:r>
        <w:rPr>
          <w:rFonts w:ascii="DIN Next W1G Light" w:hAnsi="DIN Next W1G Light"/>
        </w:rPr>
        <w:t xml:space="preserve">Принцип действия ERNEST основан на возможностях соединения по протоколу Bluetooth, защищенному трехуровневой системой безопасности. Устройство ERNEST </w:t>
      </w:r>
      <w:r w:rsidR="00A904BC">
        <w:rPr>
          <w:rFonts w:ascii="DIN Next W1G Light" w:hAnsi="DIN Next W1G Light"/>
          <w:lang w:val="lv-LV"/>
        </w:rPr>
        <w:t>Bluetooth Immobilizer</w:t>
      </w:r>
      <w:r>
        <w:rPr>
          <w:rFonts w:ascii="DIN Next W1G Light" w:hAnsi="DIN Next W1G Light"/>
        </w:rPr>
        <w:t xml:space="preserve"> разработано на базе технологии Bluetooth 4.0 Low Energy, которая обеспечивает быстрое подключение устройств и чрезвычайно низкое потребление энергии. Для связи с мобильным приложением (iOS/Android) используется сигнал с 128-битным шифрованием, который обеспечивает высокий уровень безопасности.</w:t>
      </w:r>
    </w:p>
    <w:p w:rsidR="00974A67" w:rsidRPr="00A02052" w:rsidRDefault="0056746F" w:rsidP="00932754">
      <w:pPr>
        <w:jc w:val="both"/>
        <w:rPr>
          <w:rFonts w:ascii="DIN Next W1G Light" w:hAnsi="DIN Next W1G Light"/>
        </w:rPr>
      </w:pPr>
      <w:r>
        <w:tab/>
      </w:r>
    </w:p>
    <w:p w:rsidR="00973F77" w:rsidRPr="00A02052" w:rsidRDefault="00973F77" w:rsidP="00857123">
      <w:pPr>
        <w:tabs>
          <w:tab w:val="right" w:pos="8306"/>
        </w:tabs>
        <w:jc w:val="both"/>
        <w:rPr>
          <w:rFonts w:ascii="DIN Next W1G Light" w:hAnsi="DIN Next W1G Light"/>
          <w:b/>
          <w:caps/>
          <w:u w:val="single"/>
        </w:rPr>
      </w:pPr>
      <w:r>
        <w:rPr>
          <w:rFonts w:ascii="DIN Next W1G Light" w:hAnsi="DIN Next W1G Light"/>
          <w:b/>
          <w:caps/>
          <w:u w:val="single"/>
        </w:rPr>
        <w:t>Информация</w:t>
      </w:r>
    </w:p>
    <w:p w:rsidR="00261BAC" w:rsidRPr="00A02052" w:rsidRDefault="00EA4268" w:rsidP="00857123">
      <w:pPr>
        <w:jc w:val="both"/>
        <w:rPr>
          <w:rFonts w:ascii="DIN Next W1G Light" w:hAnsi="DIN Next W1G Light"/>
        </w:rPr>
      </w:pPr>
      <w:r>
        <w:rPr>
          <w:rFonts w:ascii="DIN Next W1G Light" w:hAnsi="DIN Next W1G Light"/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18B663FF" wp14:editId="2826FBCA">
            <wp:simplePos x="0" y="0"/>
            <wp:positionH relativeFrom="column">
              <wp:posOffset>1438275</wp:posOffset>
            </wp:positionH>
            <wp:positionV relativeFrom="paragraph">
              <wp:posOffset>254635</wp:posOffset>
            </wp:positionV>
            <wp:extent cx="152400" cy="145415"/>
            <wp:effectExtent l="0" t="0" r="0" b="6985"/>
            <wp:wrapThrough wrapText="bothSides">
              <wp:wrapPolygon edited="0">
                <wp:start x="0" y="0"/>
                <wp:lineTo x="0" y="19808"/>
                <wp:lineTo x="18900" y="19808"/>
                <wp:lineTo x="189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DIN Next W1G Light" w:hAnsi="DIN Next W1G Light"/>
        </w:rPr>
        <w:t xml:space="preserve">ERNEST Auto Basic отвечает стандартам </w:t>
      </w:r>
      <w:r>
        <w:rPr>
          <w:rFonts w:ascii="DIN Next W1G Light" w:hAnsi="DIN Next W1G Light"/>
          <w:noProof/>
          <w:lang w:val="en-US" w:eastAsia="en-US" w:bidi="ar-SA"/>
        </w:rPr>
        <w:drawing>
          <wp:inline distT="0" distB="0" distL="0" distR="0" wp14:anchorId="323ECE4D" wp14:editId="2E7D2CC7">
            <wp:extent cx="456591" cy="203835"/>
            <wp:effectExtent l="0" t="0" r="63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H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20" cy="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Next W1G Light" w:hAnsi="DIN Next W1G Light"/>
        </w:rPr>
        <w:t xml:space="preserve"> RoHS, нормативным документам и снабжено маркировкой.</w:t>
      </w:r>
    </w:p>
    <w:p w:rsidR="001D0A0F" w:rsidRPr="00A02052" w:rsidRDefault="001D0A0F" w:rsidP="00857123">
      <w:pPr>
        <w:jc w:val="both"/>
        <w:rPr>
          <w:rFonts w:ascii="DIN Next W1G Light" w:hAnsi="DIN Next W1G Light"/>
        </w:rPr>
      </w:pPr>
      <w:r>
        <w:rPr>
          <w:rFonts w:ascii="DIN Next W1G Light" w:hAnsi="DIN Next W1G Light"/>
        </w:rPr>
        <w:t xml:space="preserve">Перечеркнутая урна для мусора означает, что электрические и </w:t>
      </w:r>
      <w:r>
        <w:rPr>
          <w:rFonts w:ascii="DIN Next W1G Light" w:hAnsi="DIN Next W1G Light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49AF70B5" wp14:editId="6A83BEA5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188595" cy="200025"/>
            <wp:effectExtent l="0" t="0" r="1905" b="9525"/>
            <wp:wrapTight wrapText="bothSides">
              <wp:wrapPolygon edited="0">
                <wp:start x="0" y="0"/>
                <wp:lineTo x="0" y="20571"/>
                <wp:lineTo x="19636" y="20571"/>
                <wp:lineTo x="196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 Next W1G Light" w:hAnsi="DIN Next W1G Light"/>
        </w:rPr>
        <w:t>электронные устройства после окончания срока службы согласно директивам Европейского союза (ЕС) необходимо доставить в специально отведенные места (пункты приема).</w:t>
      </w:r>
    </w:p>
    <w:p w:rsidR="008F6EF3" w:rsidRPr="00A02052" w:rsidRDefault="003129E6" w:rsidP="00D15065">
      <w:pPr>
        <w:jc w:val="both"/>
        <w:rPr>
          <w:rFonts w:ascii="DIN Next W1G Light" w:hAnsi="DIN Next W1G Light"/>
          <w:caps/>
        </w:rPr>
      </w:pPr>
      <w:r>
        <w:rPr>
          <w:rFonts w:ascii="DIN Next W1G Light" w:hAnsi="DIN Next W1G Light"/>
          <w:b/>
          <w:caps/>
          <w:u w:val="single"/>
        </w:rPr>
        <w:t xml:space="preserve">Технические характеристики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3644"/>
      </w:tblGrid>
      <w:tr w:rsidR="008F6EF3" w:rsidRPr="00A02052" w:rsidTr="008F6EF3">
        <w:tc>
          <w:tcPr>
            <w:tcW w:w="4148" w:type="dxa"/>
          </w:tcPr>
          <w:p w:rsidR="008F6EF3" w:rsidRPr="00A02052" w:rsidRDefault="008F6EF3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Диапазон напряжения</w:t>
            </w:r>
          </w:p>
        </w:tc>
        <w:tc>
          <w:tcPr>
            <w:tcW w:w="3644" w:type="dxa"/>
          </w:tcPr>
          <w:p w:rsidR="008F6EF3" w:rsidRPr="00A02052" w:rsidRDefault="00C11010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9–15 В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8F6EF3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Рабочая температура</w:t>
            </w:r>
          </w:p>
        </w:tc>
        <w:tc>
          <w:tcPr>
            <w:tcW w:w="3644" w:type="dxa"/>
          </w:tcPr>
          <w:p w:rsidR="008F6EF3" w:rsidRPr="00A02052" w:rsidRDefault="00C11010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-30°C – +85°C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8F6EF3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Потребляемый ток (во включенном состоянии)</w:t>
            </w:r>
          </w:p>
        </w:tc>
        <w:tc>
          <w:tcPr>
            <w:tcW w:w="3644" w:type="dxa"/>
          </w:tcPr>
          <w:p w:rsidR="008F6EF3" w:rsidRPr="00A02052" w:rsidRDefault="00A904BC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70</w:t>
            </w:r>
            <w:r w:rsidR="00BE2932">
              <w:rPr>
                <w:rFonts w:ascii="DIN Next W1G Light" w:hAnsi="DIN Next W1G Light"/>
              </w:rPr>
              <w:t xml:space="preserve"> мА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8F6EF3" w:rsidP="00D72934">
            <w:pPr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Потребляемый ток (в выключенном состоянии – Service mode)</w:t>
            </w:r>
          </w:p>
        </w:tc>
        <w:tc>
          <w:tcPr>
            <w:tcW w:w="3644" w:type="dxa"/>
          </w:tcPr>
          <w:p w:rsidR="008F6EF3" w:rsidRPr="00A02052" w:rsidRDefault="00A904BC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  <w:lang w:val="lv-LV"/>
              </w:rPr>
              <w:t>30</w:t>
            </w:r>
            <w:r w:rsidR="00BE2932">
              <w:rPr>
                <w:rFonts w:ascii="DIN Next W1G Light" w:hAnsi="DIN Next W1G Light"/>
              </w:rPr>
              <w:t xml:space="preserve"> мА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703BD7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Количество каналов</w:t>
            </w:r>
          </w:p>
        </w:tc>
        <w:tc>
          <w:tcPr>
            <w:tcW w:w="3644" w:type="dxa"/>
          </w:tcPr>
          <w:p w:rsidR="008F6EF3" w:rsidRPr="00A02052" w:rsidRDefault="00A904BC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1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703BD7" w:rsidP="00A904BC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 xml:space="preserve">Задержка перед отключением </w:t>
            </w:r>
            <w:r w:rsidR="00A904BC" w:rsidRPr="00A904BC">
              <w:rPr>
                <w:rFonts w:ascii="DIN Next W1G Light" w:hAnsi="DIN Next W1G Light"/>
                <w:b/>
              </w:rPr>
              <w:br/>
              <w:t>блокирующие цепи</w:t>
            </w:r>
          </w:p>
        </w:tc>
        <w:tc>
          <w:tcPr>
            <w:tcW w:w="3644" w:type="dxa"/>
          </w:tcPr>
          <w:p w:rsidR="008F6EF3" w:rsidRPr="00A02052" w:rsidRDefault="00CA36AA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1 минута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Тип выхода</w:t>
            </w:r>
          </w:p>
        </w:tc>
        <w:tc>
          <w:tcPr>
            <w:tcW w:w="3644" w:type="dxa"/>
          </w:tcPr>
          <w:p w:rsidR="008F6EF3" w:rsidRPr="00A02052" w:rsidRDefault="00A3237E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Релейные выходы</w:t>
            </w:r>
            <w:r w:rsidR="00A904BC">
              <w:rPr>
                <w:rFonts w:ascii="DIN Next W1G Light" w:hAnsi="DIN Next W1G Light"/>
              </w:rPr>
              <w:t xml:space="preserve"> без защиты предохранителями (NC</w:t>
            </w:r>
            <w:r>
              <w:rPr>
                <w:rFonts w:ascii="DIN Next W1G Light" w:hAnsi="DIN Next W1G Light"/>
              </w:rPr>
              <w:t>)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Максимальный потребляемый ток в цепи блокирования</w:t>
            </w:r>
          </w:p>
        </w:tc>
        <w:tc>
          <w:tcPr>
            <w:tcW w:w="3644" w:type="dxa"/>
          </w:tcPr>
          <w:p w:rsidR="008F6EF3" w:rsidRPr="00A02052" w:rsidRDefault="00E23D6A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15 мА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Предохранитель системы</w:t>
            </w:r>
          </w:p>
        </w:tc>
        <w:tc>
          <w:tcPr>
            <w:tcW w:w="3644" w:type="dxa"/>
          </w:tcPr>
          <w:p w:rsidR="008F6EF3" w:rsidRPr="00A02052" w:rsidRDefault="00967373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Плавкий предохранитель (0,3 A)</w:t>
            </w:r>
          </w:p>
        </w:tc>
      </w:tr>
      <w:tr w:rsidR="008F6EF3" w:rsidRPr="00A02052" w:rsidTr="008F6EF3">
        <w:tc>
          <w:tcPr>
            <w:tcW w:w="4148" w:type="dxa"/>
          </w:tcPr>
          <w:p w:rsidR="0030045E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Размеры</w:t>
            </w:r>
          </w:p>
        </w:tc>
        <w:tc>
          <w:tcPr>
            <w:tcW w:w="3644" w:type="dxa"/>
          </w:tcPr>
          <w:p w:rsidR="008F6EF3" w:rsidRPr="00A02052" w:rsidRDefault="00A904BC" w:rsidP="00A904BC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  <w:lang w:val="lv-LV"/>
              </w:rPr>
              <w:t>23</w:t>
            </w:r>
            <w:r>
              <w:rPr>
                <w:rFonts w:ascii="DIN Next W1G Light" w:hAnsi="DIN Next W1G Light"/>
              </w:rPr>
              <w:t> мм/55</w:t>
            </w:r>
            <w:r w:rsidR="00C645F7">
              <w:rPr>
                <w:rFonts w:ascii="DIN Next W1G Light" w:hAnsi="DIN Next W1G Light"/>
              </w:rPr>
              <w:t> мм/</w:t>
            </w:r>
            <w:r>
              <w:rPr>
                <w:rFonts w:ascii="DIN Next W1G Light" w:hAnsi="DIN Next W1G Light"/>
                <w:lang w:val="lv-LV"/>
              </w:rPr>
              <w:t>9</w:t>
            </w:r>
            <w:r w:rsidR="00C645F7">
              <w:rPr>
                <w:rFonts w:ascii="DIN Next W1G Light" w:hAnsi="DIN Next W1G Light"/>
              </w:rPr>
              <w:t> мм (ширина/длина/высота)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Протокол</w:t>
            </w:r>
          </w:p>
        </w:tc>
        <w:tc>
          <w:tcPr>
            <w:tcW w:w="3644" w:type="dxa"/>
          </w:tcPr>
          <w:p w:rsidR="008F6EF3" w:rsidRPr="00A02052" w:rsidRDefault="007776F0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Bluetooth® 4.0 LE</w:t>
            </w:r>
          </w:p>
        </w:tc>
      </w:tr>
      <w:tr w:rsidR="008F6EF3" w:rsidRPr="00A02052" w:rsidTr="008F6EF3">
        <w:tc>
          <w:tcPr>
            <w:tcW w:w="4148" w:type="dxa"/>
          </w:tcPr>
          <w:p w:rsidR="008F6EF3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Рабочая частота</w:t>
            </w:r>
          </w:p>
        </w:tc>
        <w:tc>
          <w:tcPr>
            <w:tcW w:w="3644" w:type="dxa"/>
          </w:tcPr>
          <w:p w:rsidR="008F6EF3" w:rsidRPr="00A02052" w:rsidRDefault="007776F0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2,4 ГГц</w:t>
            </w:r>
          </w:p>
        </w:tc>
      </w:tr>
      <w:tr w:rsidR="0030045E" w:rsidRPr="00A02052" w:rsidTr="008F6EF3">
        <w:tc>
          <w:tcPr>
            <w:tcW w:w="4148" w:type="dxa"/>
          </w:tcPr>
          <w:p w:rsidR="0030045E" w:rsidRPr="00A02052" w:rsidRDefault="0030045E" w:rsidP="00D15065">
            <w:pPr>
              <w:jc w:val="both"/>
              <w:rPr>
                <w:rFonts w:ascii="DIN Next W1G Light" w:hAnsi="DIN Next W1G Light"/>
                <w:b/>
              </w:rPr>
            </w:pPr>
            <w:r>
              <w:rPr>
                <w:rFonts w:ascii="DIN Next W1G Light" w:hAnsi="DIN Next W1G Light"/>
                <w:b/>
              </w:rPr>
              <w:t>Мощность излучения передатчика</w:t>
            </w:r>
          </w:p>
        </w:tc>
        <w:tc>
          <w:tcPr>
            <w:tcW w:w="3644" w:type="dxa"/>
          </w:tcPr>
          <w:p w:rsidR="0030045E" w:rsidRPr="00A02052" w:rsidRDefault="007776F0" w:rsidP="00D15065">
            <w:pPr>
              <w:jc w:val="both"/>
              <w:rPr>
                <w:rFonts w:ascii="DIN Next W1G Light" w:hAnsi="DIN Next W1G Light"/>
              </w:rPr>
            </w:pPr>
            <w:r>
              <w:rPr>
                <w:rFonts w:ascii="DIN Next W1G Light" w:hAnsi="DIN Next W1G Light"/>
              </w:rPr>
              <w:t>+4 дБм</w:t>
            </w:r>
          </w:p>
        </w:tc>
      </w:tr>
    </w:tbl>
    <w:p w:rsidR="003129E6" w:rsidRPr="00A02052" w:rsidRDefault="003129E6" w:rsidP="00D15065">
      <w:pPr>
        <w:jc w:val="both"/>
        <w:rPr>
          <w:rFonts w:ascii="DIN Next W1G Light" w:hAnsi="DIN Next W1G Light"/>
        </w:rPr>
      </w:pPr>
    </w:p>
    <w:p w:rsidR="003F19DB" w:rsidRDefault="003F19DB" w:rsidP="00D15065">
      <w:pPr>
        <w:jc w:val="both"/>
        <w:rPr>
          <w:rFonts w:ascii="DIN Next W1G Light" w:hAnsi="DIN Next W1G Light"/>
          <w:b/>
          <w:caps/>
          <w:u w:val="single"/>
          <w:lang w:val="lv-LV"/>
        </w:rPr>
      </w:pPr>
    </w:p>
    <w:p w:rsidR="00C17216" w:rsidRPr="00C17216" w:rsidRDefault="00C17216" w:rsidP="00D15065">
      <w:pPr>
        <w:jc w:val="both"/>
        <w:rPr>
          <w:rFonts w:ascii="DIN Next W1G Light" w:hAnsi="DIN Next W1G Light"/>
          <w:b/>
          <w:caps/>
          <w:u w:val="single"/>
          <w:lang w:val="lv-LV"/>
        </w:rPr>
      </w:pPr>
    </w:p>
    <w:p w:rsidR="000F0CC1" w:rsidRDefault="000F0CC1" w:rsidP="00D15065">
      <w:pPr>
        <w:jc w:val="both"/>
        <w:rPr>
          <w:rFonts w:ascii="DIN Next W1G Light" w:hAnsi="DIN Next W1G Light"/>
          <w:b/>
          <w:caps/>
          <w:u w:val="single"/>
        </w:rPr>
      </w:pPr>
    </w:p>
    <w:p w:rsidR="00100A04" w:rsidRPr="00A02052" w:rsidRDefault="005C2C20" w:rsidP="00D15065">
      <w:pPr>
        <w:jc w:val="both"/>
        <w:rPr>
          <w:rFonts w:ascii="DIN Next W1G Light" w:hAnsi="DIN Next W1G Light"/>
          <w:b/>
          <w:caps/>
          <w:u w:val="single"/>
        </w:rPr>
      </w:pPr>
      <w:r>
        <w:rPr>
          <w:rFonts w:ascii="DIN Next W1G Light" w:hAnsi="DIN Next W1G Light"/>
          <w:b/>
          <w:caps/>
          <w:u w:val="single"/>
        </w:rPr>
        <w:lastRenderedPageBreak/>
        <w:t>Установка устройства на транспортное средство</w:t>
      </w:r>
    </w:p>
    <w:p w:rsidR="00C17216" w:rsidRPr="008D6CFF" w:rsidRDefault="00100A04" w:rsidP="00C17216">
      <w:pPr>
        <w:jc w:val="both"/>
        <w:rPr>
          <w:rFonts w:ascii="DIN Next W1G Light" w:hAnsi="DIN Next W1G Light"/>
        </w:rPr>
      </w:pPr>
      <w:r>
        <w:tab/>
      </w:r>
      <w:r w:rsidR="00C17216">
        <w:rPr>
          <w:rFonts w:ascii="DIN Next W1G Light" w:hAnsi="DIN Next W1G Light"/>
        </w:rPr>
        <w:t xml:space="preserve">Рекомендуется поручить установку ERNEST </w:t>
      </w:r>
      <w:r w:rsidR="00A904BC">
        <w:rPr>
          <w:rFonts w:ascii="DIN Next W1G Light" w:hAnsi="DIN Next W1G Light"/>
          <w:lang w:val="lv-LV"/>
        </w:rPr>
        <w:t>Bluetooth Immobilizer</w:t>
      </w:r>
      <w:r w:rsidR="00C17216">
        <w:rPr>
          <w:rFonts w:ascii="DIN Next W1G Light" w:hAnsi="DIN Next W1G Light"/>
        </w:rPr>
        <w:t xml:space="preserve"> профессиональному (сертифицированному) автоэлектрику (желательно у авторизованных деловых партнеров SIA Valet and Knave).</w:t>
      </w:r>
    </w:p>
    <w:p w:rsidR="00C17216" w:rsidRPr="008D6CFF" w:rsidRDefault="00C17216" w:rsidP="00C17216">
      <w:pPr>
        <w:jc w:val="both"/>
        <w:rPr>
          <w:rFonts w:ascii="DIN Next W1G Light" w:hAnsi="DIN Next W1G Light"/>
        </w:rPr>
      </w:pPr>
      <w:r>
        <w:tab/>
      </w:r>
      <w:r>
        <w:rPr>
          <w:rFonts w:ascii="DIN Next W1G Light" w:hAnsi="DIN Next W1G Light"/>
        </w:rPr>
        <w:t xml:space="preserve">В цепи питания устройству не нужен предохранитель, поскольку он встроен в устройство. </w:t>
      </w:r>
    </w:p>
    <w:p w:rsidR="00C17216" w:rsidRPr="008D6CFF" w:rsidRDefault="00A904BC" w:rsidP="00A904BC">
      <w:pPr>
        <w:ind w:firstLine="720"/>
        <w:jc w:val="both"/>
        <w:rPr>
          <w:rFonts w:ascii="DIN Next W1G Light" w:hAnsi="DIN Next W1G Light"/>
        </w:rPr>
      </w:pPr>
      <w:r>
        <w:rPr>
          <w:rFonts w:ascii="DIN Next W1G Light" w:hAnsi="DIN Next W1G Light"/>
        </w:rPr>
        <w:t>В</w:t>
      </w:r>
      <w:r>
        <w:rPr>
          <w:rFonts w:ascii="DIN Next W1G Light" w:hAnsi="DIN Next W1G Light"/>
          <w:lang w:val="lv-LV"/>
        </w:rPr>
        <w:t xml:space="preserve"> </w:t>
      </w:r>
      <w:r>
        <w:rPr>
          <w:rFonts w:ascii="DIN Next W1G Light" w:hAnsi="DIN Next W1G Light"/>
        </w:rPr>
        <w:t>устройстве</w:t>
      </w:r>
      <w:r>
        <w:rPr>
          <w:rFonts w:ascii="DIN Next W1G Light" w:hAnsi="DIN Next W1G Light"/>
          <w:lang w:val="lv-LV"/>
        </w:rPr>
        <w:t xml:space="preserve"> </w:t>
      </w:r>
      <w:r w:rsidR="00C17216">
        <w:rPr>
          <w:rFonts w:ascii="DIN Next W1G Light" w:hAnsi="DIN Next W1G Light"/>
        </w:rPr>
        <w:t xml:space="preserve">имеется </w:t>
      </w:r>
      <w:r w:rsidRPr="00A904BC">
        <w:rPr>
          <w:rFonts w:ascii="DIN Next W1G Light" w:hAnsi="DIN Next W1G Light"/>
        </w:rPr>
        <w:t>один</w:t>
      </w:r>
      <w:r>
        <w:rPr>
          <w:rFonts w:ascii="DIN Next W1G Light" w:hAnsi="DIN Next W1G Light"/>
        </w:rPr>
        <w:t xml:space="preserve"> </w:t>
      </w:r>
      <w:r w:rsidR="00C17216">
        <w:rPr>
          <w:rFonts w:ascii="DIN Next W1G Light" w:hAnsi="DIN Next W1G Light"/>
        </w:rPr>
        <w:t xml:space="preserve">встроенных реле. </w:t>
      </w:r>
      <w:r w:rsidR="000F0CC1" w:rsidRPr="000F0CC1">
        <w:rPr>
          <w:rFonts w:ascii="DIN Next W1G Light" w:hAnsi="DIN Next W1G Light"/>
        </w:rPr>
        <w:br/>
      </w:r>
      <w:r w:rsidR="000F0CC1">
        <w:rPr>
          <w:rFonts w:ascii="DIN Next W1G Light" w:hAnsi="DIN Next W1G Light"/>
        </w:rPr>
        <w:t xml:space="preserve">это </w:t>
      </w:r>
      <w:r w:rsidR="00C17216">
        <w:rPr>
          <w:rFonts w:ascii="DIN Next W1G Light" w:hAnsi="DIN Next W1G Light"/>
        </w:rPr>
        <w:t>может отключать одну цепь, через которую проходит ток не больше 15 А. В релейной цепи предохранителя нет; если в нем возникнет необходимость, его нужно установить дополнительно.</w:t>
      </w:r>
    </w:p>
    <w:p w:rsidR="00BE2932" w:rsidRDefault="00C17216" w:rsidP="000F0CC1">
      <w:pPr>
        <w:ind w:firstLine="720"/>
        <w:jc w:val="both"/>
        <w:rPr>
          <w:rFonts w:ascii="DIN Next W1G Light" w:hAnsi="DIN Next W1G Light"/>
        </w:rPr>
      </w:pPr>
      <w:r>
        <w:rPr>
          <w:rFonts w:ascii="DIN Next W1G Light" w:hAnsi="DIN Next W1G Light"/>
        </w:rPr>
        <w:t xml:space="preserve"> К автомобилям с функцией удаленного запуска двигателя иммобилайзер устройства необходимо подключать таким образом, чтобы двигатель транспортного средства можно было запустить, однако несанкционированное использование автомобиля было бы невозможно.</w:t>
      </w:r>
    </w:p>
    <w:p w:rsidR="003F252F" w:rsidRPr="00A02052" w:rsidRDefault="003F252F" w:rsidP="00BE2932">
      <w:pPr>
        <w:jc w:val="both"/>
        <w:rPr>
          <w:rFonts w:ascii="DIN Next W1G Light" w:hAnsi="DIN Next W1G Light"/>
          <w:caps/>
        </w:rPr>
      </w:pPr>
      <w:r>
        <w:rPr>
          <w:rFonts w:ascii="DIN Next W1G Light" w:hAnsi="DIN Next W1G Light"/>
          <w:b/>
          <w:caps/>
          <w:u w:val="single"/>
        </w:rPr>
        <w:t>Маркировка проводов</w:t>
      </w:r>
    </w:p>
    <w:p w:rsidR="000F0CC1" w:rsidRPr="000F0CC1" w:rsidRDefault="000F0CC1" w:rsidP="000F0CC1">
      <w:pPr>
        <w:rPr>
          <w:rFonts w:ascii="DIN Next W1G Light" w:hAnsi="DIN Next W1G Light"/>
        </w:rPr>
      </w:pPr>
      <w:r>
        <w:rPr>
          <w:rFonts w:ascii="DIN Next W1G Light" w:hAnsi="DIN Next W1G Light"/>
          <w:noProof/>
          <w:lang w:val="en-US" w:eastAsia="en-US" w:bidi="ar-SA"/>
        </w:rPr>
        <w:drawing>
          <wp:inline distT="0" distB="0" distL="0" distR="0" wp14:anchorId="35CEF3F7" wp14:editId="5F721967">
            <wp:extent cx="3267710" cy="239014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7"/>
        <w:tblW w:w="7054" w:type="dxa"/>
        <w:tblLook w:val="00A0" w:firstRow="1" w:lastRow="0" w:firstColumn="1" w:lastColumn="0" w:noHBand="0" w:noVBand="0"/>
      </w:tblPr>
      <w:tblGrid>
        <w:gridCol w:w="1152"/>
        <w:gridCol w:w="1916"/>
        <w:gridCol w:w="3986"/>
      </w:tblGrid>
      <w:tr w:rsidR="000F0CC1" w:rsidRPr="000F0CC1" w:rsidTr="00CE37C9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Позиция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 xml:space="preserve">Цвет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Функция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lang w:eastAsia="en-US" w:bidi="ar-SA"/>
              </w:rPr>
              <w:t>красный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 xml:space="preserve"> +12 В (вольт переменного тока) – питание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lang w:eastAsia="en-US" w:bidi="ar-SA"/>
              </w:rPr>
              <w:t>коричневый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Масса (ЗЕМЛЯ) – питание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lang w:eastAsia="en-US" w:bidi="ar-SA"/>
              </w:rPr>
              <w:t>желтый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 xml:space="preserve"> +12 В – зажигание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lang w:eastAsia="en-US" w:bidi="ar-SA"/>
              </w:rPr>
              <w:t>белый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Вывод блокировочного реле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5.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оранжевый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Вывод блокировочного реле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6.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серый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Датчик сигнала «-»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7.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розовый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Датчик сигнала «+»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8.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серый/черный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Кодовый выключатель, вход «1»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9.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синий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Кодовый выключатель, общий</w:t>
            </w:r>
          </w:p>
        </w:tc>
      </w:tr>
      <w:tr w:rsidR="000F0CC1" w:rsidRPr="000F0CC1" w:rsidTr="00CE37C9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10.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зеленый/черный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Кодовый выключатель, вход «2»</w:t>
            </w:r>
          </w:p>
        </w:tc>
      </w:tr>
    </w:tbl>
    <w:p w:rsidR="000F0CC1" w:rsidRPr="000F0CC1" w:rsidRDefault="000F0CC1" w:rsidP="000F0CC1">
      <w:pPr>
        <w:jc w:val="both"/>
        <w:rPr>
          <w:rFonts w:ascii="Arial" w:eastAsia="Calibri" w:hAnsi="Arial" w:cs="Arial"/>
          <w:b/>
          <w:caps/>
          <w:u w:val="single"/>
          <w:lang w:eastAsia="en-US" w:bidi="ar-SA"/>
        </w:rPr>
      </w:pPr>
    </w:p>
    <w:p w:rsidR="000F0CC1" w:rsidRPr="000F0CC1" w:rsidRDefault="000F0CC1" w:rsidP="000F0CC1">
      <w:pPr>
        <w:jc w:val="both"/>
        <w:rPr>
          <w:rFonts w:ascii="Arial" w:eastAsia="Calibri" w:hAnsi="Arial" w:cs="Arial"/>
          <w:b/>
          <w:caps/>
          <w:u w:val="single"/>
          <w:lang w:eastAsia="en-US" w:bidi="ar-SA"/>
        </w:rPr>
      </w:pPr>
    </w:p>
    <w:p w:rsidR="000F0CC1" w:rsidRPr="000F0CC1" w:rsidRDefault="000F0CC1" w:rsidP="000F0CC1">
      <w:pPr>
        <w:jc w:val="both"/>
        <w:rPr>
          <w:rFonts w:ascii="Arial" w:eastAsia="Calibri" w:hAnsi="Arial" w:cs="Arial"/>
          <w:b/>
          <w:caps/>
          <w:u w:val="single"/>
          <w:lang w:eastAsia="en-US" w:bidi="ar-SA"/>
        </w:rPr>
      </w:pPr>
    </w:p>
    <w:p w:rsidR="000F0CC1" w:rsidRPr="000F0CC1" w:rsidRDefault="000F0CC1" w:rsidP="000F0CC1">
      <w:pPr>
        <w:jc w:val="both"/>
        <w:rPr>
          <w:rFonts w:ascii="Arial" w:eastAsia="Calibri" w:hAnsi="Arial" w:cs="Arial"/>
          <w:b/>
          <w:caps/>
          <w:u w:val="single"/>
          <w:lang w:eastAsia="en-US" w:bidi="ar-SA"/>
        </w:rPr>
      </w:pPr>
    </w:p>
    <w:p w:rsidR="000F0CC1" w:rsidRPr="000F0CC1" w:rsidRDefault="000F0CC1" w:rsidP="000F0CC1">
      <w:pPr>
        <w:rPr>
          <w:rFonts w:ascii="Arial" w:eastAsia="Calibri" w:hAnsi="Arial" w:cs="Arial"/>
          <w:lang w:eastAsia="en-US" w:bidi="ar-SA"/>
        </w:rPr>
      </w:pPr>
    </w:p>
    <w:p w:rsidR="000F0CC1" w:rsidRPr="000F0CC1" w:rsidRDefault="000F0CC1" w:rsidP="000F0CC1">
      <w:pPr>
        <w:rPr>
          <w:rFonts w:ascii="Arial" w:eastAsia="Calibri" w:hAnsi="Arial" w:cs="Arial"/>
          <w:lang w:eastAsia="en-US" w:bidi="ar-SA"/>
        </w:rPr>
      </w:pPr>
      <w:r w:rsidRPr="000F0CC1">
        <w:rPr>
          <w:rFonts w:ascii="Arial" w:eastAsia="Calibri" w:hAnsi="Arial" w:cs="Arial"/>
          <w:lang w:eastAsia="en-US" w:bidi="ar-SA"/>
        </w:rPr>
        <w:fldChar w:fldCharType="begin"/>
      </w:r>
      <w:r w:rsidRPr="000F0CC1">
        <w:rPr>
          <w:rFonts w:ascii="Arial" w:eastAsia="Calibri" w:hAnsi="Arial" w:cs="Arial"/>
          <w:lang w:eastAsia="en-US" w:bidi="ar-SA"/>
        </w:rPr>
        <w:instrText xml:space="preserve"> LINK Excel.Sheet.12 "C:\\Users\\User\\Desktop\\shēma.xlsx" "Sheet1!R41C2:R44C3" \a \f 4 \h  \* MERGEFORMAT </w:instrText>
      </w:r>
      <w:r w:rsidRPr="000F0CC1">
        <w:rPr>
          <w:rFonts w:ascii="Arial" w:eastAsia="Calibri" w:hAnsi="Arial" w:cs="Arial"/>
          <w:lang w:eastAsia="en-US" w:bidi="ar-SA"/>
        </w:rPr>
        <w:fldChar w:fldCharType="separate"/>
      </w:r>
    </w:p>
    <w:p w:rsidR="000F0CC1" w:rsidRPr="000F0CC1" w:rsidRDefault="000F0CC1" w:rsidP="000F0CC1">
      <w:pPr>
        <w:rPr>
          <w:rFonts w:ascii="Arial" w:eastAsia="Calibri" w:hAnsi="Arial" w:cs="Arial"/>
          <w:lang w:eastAsia="en-US" w:bidi="ar-SA"/>
        </w:rPr>
      </w:pPr>
      <w:r w:rsidRPr="000F0CC1">
        <w:rPr>
          <w:rFonts w:ascii="Arial" w:eastAsia="Calibri" w:hAnsi="Arial" w:cs="Arial"/>
          <w:lang w:eastAsia="en-US" w:bidi="ar-SA"/>
        </w:rPr>
        <w:fldChar w:fldCharType="end"/>
      </w:r>
    </w:p>
    <w:p w:rsidR="000F0CC1" w:rsidRPr="000F0CC1" w:rsidRDefault="000F0CC1" w:rsidP="000F0CC1">
      <w:pPr>
        <w:rPr>
          <w:rFonts w:ascii="Arial" w:eastAsia="Calibri" w:hAnsi="Arial" w:cs="Arial"/>
          <w:lang w:eastAsia="en-US" w:bidi="ar-SA"/>
        </w:rPr>
      </w:pPr>
    </w:p>
    <w:tbl>
      <w:tblPr>
        <w:tblpPr w:leftFromText="180" w:rightFromText="180" w:vertAnchor="text" w:horzAnchor="margin" w:tblpY="154"/>
        <w:tblW w:w="4077" w:type="dxa"/>
        <w:tblLook w:val="00A0" w:firstRow="1" w:lastRow="0" w:firstColumn="1" w:lastColumn="0" w:noHBand="0" w:noVBand="0"/>
      </w:tblPr>
      <w:tblGrid>
        <w:gridCol w:w="1152"/>
        <w:gridCol w:w="2925"/>
      </w:tblGrid>
      <w:tr w:rsidR="000F0CC1" w:rsidRPr="000F0CC1" w:rsidTr="000F0CC1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Позиция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Функция</w:t>
            </w:r>
          </w:p>
        </w:tc>
      </w:tr>
      <w:tr w:rsidR="000F0CC1" w:rsidRPr="000F0CC1" w:rsidTr="000F0CC1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11.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Цепь блокировки</w:t>
            </w:r>
          </w:p>
        </w:tc>
      </w:tr>
      <w:tr w:rsidR="000F0CC1" w:rsidRPr="000F0CC1" w:rsidTr="000F0CC1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12.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Датчик сигнала</w:t>
            </w:r>
          </w:p>
        </w:tc>
      </w:tr>
      <w:tr w:rsidR="000F0CC1" w:rsidRPr="000F0CC1" w:rsidTr="000F0CC1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b/>
                <w:bCs/>
                <w:color w:val="000000"/>
                <w:lang w:eastAsia="en-US" w:bidi="ar-SA"/>
              </w:rPr>
              <w:t>13.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CC1" w:rsidRPr="000F0CC1" w:rsidRDefault="000F0CC1" w:rsidP="000F0CC1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 w:bidi="ar-SA"/>
              </w:rPr>
            </w:pPr>
            <w:r w:rsidRPr="000F0CC1">
              <w:rPr>
                <w:rFonts w:ascii="Arial" w:eastAsia="Calibri" w:hAnsi="Arial" w:cs="Arial"/>
                <w:color w:val="000000"/>
                <w:lang w:eastAsia="en-US" w:bidi="ar-SA"/>
              </w:rPr>
              <w:t>Кодовый выключатель</w:t>
            </w:r>
          </w:p>
        </w:tc>
      </w:tr>
    </w:tbl>
    <w:p w:rsidR="000F0CC1" w:rsidRPr="000F0CC1" w:rsidRDefault="000F0CC1" w:rsidP="000F0CC1">
      <w:pPr>
        <w:rPr>
          <w:rFonts w:ascii="Arial" w:eastAsia="Calibri" w:hAnsi="Arial" w:cs="Arial"/>
          <w:lang w:eastAsia="en-US" w:bidi="ar-SA"/>
        </w:rPr>
      </w:pPr>
    </w:p>
    <w:p w:rsidR="000F0CC1" w:rsidRDefault="000F0CC1" w:rsidP="000F0CC1">
      <w:pPr>
        <w:rPr>
          <w:rFonts w:ascii="DIN Next W1G Light" w:hAnsi="DIN Next W1G Light"/>
          <w:b/>
          <w:caps/>
          <w:u w:val="single"/>
        </w:rPr>
      </w:pPr>
    </w:p>
    <w:p w:rsidR="000F0CC1" w:rsidRDefault="000F0CC1" w:rsidP="000F0CC1">
      <w:pPr>
        <w:rPr>
          <w:rFonts w:ascii="DIN Next W1G Light" w:hAnsi="DIN Next W1G Light"/>
          <w:b/>
          <w:caps/>
          <w:u w:val="single"/>
        </w:rPr>
      </w:pPr>
    </w:p>
    <w:p w:rsidR="000F0CC1" w:rsidRPr="000F0CC1" w:rsidRDefault="00893BFA" w:rsidP="000F0CC1">
      <w:pPr>
        <w:rPr>
          <w:rFonts w:ascii="Arial" w:eastAsia="Calibri" w:hAnsi="Arial" w:cs="Arial"/>
          <w:lang w:eastAsia="en-US" w:bidi="ar-SA"/>
        </w:rPr>
      </w:pPr>
      <w:r>
        <w:rPr>
          <w:rFonts w:ascii="DIN Next W1G Light" w:hAnsi="DIN Next W1G Light"/>
          <w:b/>
          <w:caps/>
          <w:u w:val="single"/>
        </w:rPr>
        <w:lastRenderedPageBreak/>
        <w:t>Предупреждения</w:t>
      </w:r>
    </w:p>
    <w:p w:rsidR="00BE2932" w:rsidRDefault="00BE2932" w:rsidP="00857123">
      <w:pPr>
        <w:pStyle w:val="ListParagraph"/>
        <w:numPr>
          <w:ilvl w:val="0"/>
          <w:numId w:val="6"/>
        </w:numPr>
        <w:jc w:val="both"/>
        <w:rPr>
          <w:rFonts w:ascii="DIN Next W1G Light" w:hAnsi="DIN Next W1G Light"/>
        </w:rPr>
      </w:pPr>
      <w:r>
        <w:rPr>
          <w:rFonts w:ascii="DIN Next W1G Light" w:hAnsi="DIN Next W1G Light"/>
        </w:rPr>
        <w:t xml:space="preserve">Перед установкой устройства необходимо удостовериться в том, что аккумулятор отключен от электросистемы. </w:t>
      </w:r>
    </w:p>
    <w:p w:rsidR="007F29B8" w:rsidRDefault="00BE2932" w:rsidP="000B19FD">
      <w:pPr>
        <w:pStyle w:val="ListParagraph"/>
        <w:numPr>
          <w:ilvl w:val="0"/>
          <w:numId w:val="6"/>
        </w:numPr>
        <w:jc w:val="both"/>
        <w:rPr>
          <w:rFonts w:ascii="DIN Next W1G Light" w:hAnsi="DIN Next W1G Light"/>
        </w:rPr>
      </w:pPr>
      <w:r w:rsidRPr="007F29B8">
        <w:rPr>
          <w:rFonts w:ascii="DIN Next W1G Light" w:hAnsi="DIN Next W1G Light"/>
        </w:rPr>
        <w:t>Если в автомобиле происходиили перебои в подаче электричества, возможны проблемы с подключением устройства по Bluetooth</w:t>
      </w:r>
      <w:r w:rsidR="007F29B8">
        <w:rPr>
          <w:rFonts w:ascii="DIN Next W1G Light" w:hAnsi="DIN Next W1G Light"/>
          <w:lang w:val="lv-LV"/>
        </w:rPr>
        <w:t>.</w:t>
      </w:r>
    </w:p>
    <w:p w:rsidR="00A257D1" w:rsidRPr="007F29B8" w:rsidRDefault="00A257D1" w:rsidP="000B19FD">
      <w:pPr>
        <w:pStyle w:val="ListParagraph"/>
        <w:numPr>
          <w:ilvl w:val="0"/>
          <w:numId w:val="6"/>
        </w:numPr>
        <w:jc w:val="both"/>
        <w:rPr>
          <w:rFonts w:ascii="DIN Next W1G Light" w:hAnsi="DIN Next W1G Light"/>
        </w:rPr>
      </w:pPr>
      <w:r w:rsidRPr="007F29B8">
        <w:rPr>
          <w:rFonts w:ascii="DIN Next W1G Light" w:hAnsi="DIN Next W1G Light"/>
        </w:rPr>
        <w:t>В автомобилях с металлической панелью возможны помехи в передаче сигнала.</w:t>
      </w:r>
    </w:p>
    <w:p w:rsidR="007329ED" w:rsidRDefault="007329ED" w:rsidP="007329ED">
      <w:pPr>
        <w:jc w:val="both"/>
        <w:rPr>
          <w:rFonts w:ascii="DIN Next W1G Light" w:hAnsi="DIN Next W1G Light"/>
          <w:lang w:val="lv-LV"/>
        </w:rPr>
      </w:pPr>
    </w:p>
    <w:p w:rsidR="00CB4E08" w:rsidRPr="00A02052" w:rsidRDefault="005F421D" w:rsidP="00857123">
      <w:pPr>
        <w:jc w:val="both"/>
        <w:rPr>
          <w:rFonts w:ascii="DIN Next W1G Light" w:hAnsi="DIN Next W1G Light"/>
          <w:b/>
          <w:caps/>
          <w:u w:val="single"/>
        </w:rPr>
      </w:pPr>
      <w:bookmarkStart w:id="0" w:name="_GoBack"/>
      <w:bookmarkEnd w:id="0"/>
      <w:r>
        <w:rPr>
          <w:rFonts w:ascii="DIN Next W1G Light" w:hAnsi="DIN Next W1G Light"/>
          <w:b/>
          <w:caps/>
          <w:u w:val="single"/>
        </w:rPr>
        <w:t>Гарантия</w:t>
      </w:r>
    </w:p>
    <w:p w:rsidR="00974A67" w:rsidRPr="00A02052" w:rsidRDefault="008032B7" w:rsidP="00974A67">
      <w:pPr>
        <w:rPr>
          <w:rFonts w:ascii="DIN Next W1G Light" w:hAnsi="DIN Next W1G Light"/>
        </w:rPr>
      </w:pPr>
      <w:r>
        <w:tab/>
      </w:r>
      <w:r>
        <w:rPr>
          <w:rFonts w:ascii="DIN Next W1G Light" w:hAnsi="DIN Next W1G Light"/>
        </w:rPr>
        <w:t>Гарантия на устройство ERNEST составляет 2 календарных года (или 730 дней) с момента покупки.</w:t>
      </w:r>
    </w:p>
    <w:p w:rsidR="00974A67" w:rsidRPr="00A02052" w:rsidRDefault="00974A67" w:rsidP="00974A67">
      <w:pPr>
        <w:ind w:firstLine="720"/>
        <w:rPr>
          <w:rFonts w:ascii="DIN Next W1G Light" w:hAnsi="DIN Next W1G Light"/>
        </w:rPr>
      </w:pPr>
      <w:r>
        <w:rPr>
          <w:rFonts w:ascii="DIN Next W1G Light" w:hAnsi="DIN Next W1G Light"/>
        </w:rPr>
        <w:t>На основании условий, опубликованных на ernestapp.com, SIA Valet and Knave не несет ответственности в случае повреждений устройства, если устройство установлено неверно.</w:t>
      </w:r>
    </w:p>
    <w:p w:rsidR="00BE2932" w:rsidRPr="0036317B" w:rsidRDefault="00BE2932" w:rsidP="00717779">
      <w:pPr>
        <w:ind w:left="720"/>
        <w:rPr>
          <w:rFonts w:ascii="DIN Next W1G Light" w:hAnsi="DIN Next W1G Light"/>
          <w:i/>
        </w:rPr>
      </w:pPr>
    </w:p>
    <w:p w:rsidR="00A02052" w:rsidRPr="008D6CFF" w:rsidRDefault="00C17216" w:rsidP="00A02052">
      <w:pPr>
        <w:rPr>
          <w:rFonts w:ascii="DIN Next W1G Light" w:hAnsi="DIN Next W1G Light"/>
          <w:b/>
          <w:caps/>
          <w:u w:val="single"/>
        </w:rPr>
      </w:pPr>
      <w:r>
        <w:rPr>
          <w:rFonts w:ascii="DIN Next W1G Light" w:hAnsi="DIN Next W1G Light"/>
          <w:noProof/>
          <w:lang w:val="en-US" w:eastAsia="en-US" w:bidi="ar-SA"/>
        </w:rPr>
        <w:drawing>
          <wp:anchor distT="0" distB="0" distL="114300" distR="114300" simplePos="0" relativeHeight="251695104" behindDoc="1" locked="0" layoutInCell="1" allowOverlap="1" wp14:anchorId="53BA8C61" wp14:editId="36A85688">
            <wp:simplePos x="0" y="0"/>
            <wp:positionH relativeFrom="column">
              <wp:posOffset>2950210</wp:posOffset>
            </wp:positionH>
            <wp:positionV relativeFrom="paragraph">
              <wp:posOffset>134620</wp:posOffset>
            </wp:positionV>
            <wp:extent cx="1604010" cy="1419225"/>
            <wp:effectExtent l="0" t="0" r="0" b="9525"/>
            <wp:wrapNone/>
            <wp:docPr id="14" name="Picture 14" descr="C:\Users\Admin\AppData\Local\Microsoft\Windows\INetCache\Content.Word\00_Ernest_LockScree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00_Ernest_LockScreen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52">
        <w:rPr>
          <w:rFonts w:ascii="DIN Next W1G Light" w:hAnsi="DIN Next W1G Light"/>
          <w:b/>
          <w:caps/>
          <w:u w:val="single"/>
        </w:rPr>
        <w:t>Контакты</w:t>
      </w:r>
    </w:p>
    <w:p w:rsidR="00A02052" w:rsidRPr="008D6CFF" w:rsidRDefault="00A02052" w:rsidP="00A02052">
      <w:pPr>
        <w:rPr>
          <w:rFonts w:ascii="DIN Next W1G Light" w:hAnsi="DIN Next W1G Light"/>
        </w:rPr>
      </w:pPr>
      <w:r>
        <w:rPr>
          <w:rFonts w:ascii="DIN Next W1G Light" w:hAnsi="DIN Next W1G Light"/>
        </w:rPr>
        <w:t>SIA VALET AND KNAVE</w:t>
      </w:r>
    </w:p>
    <w:p w:rsidR="00A02052" w:rsidRPr="008D6CFF" w:rsidRDefault="00A02052" w:rsidP="00A02052">
      <w:pPr>
        <w:rPr>
          <w:rFonts w:ascii="DIN Next W1G Light" w:hAnsi="DIN Next W1G Light"/>
        </w:rPr>
      </w:pPr>
      <w:r>
        <w:rPr>
          <w:rFonts w:ascii="DIN Next W1G Light" w:hAnsi="DIN Next W1G Light"/>
        </w:rPr>
        <w:t>ул. Сергея Эйзенштейна, 29, </w:t>
      </w:r>
      <w:r>
        <w:rPr>
          <w:rFonts w:ascii="DIN Next W1G Light" w:hAnsi="DIN Next W1G Light"/>
        </w:rPr>
        <w:br/>
        <w:t>4-й этаж, Рига, LV-1079</w:t>
      </w:r>
    </w:p>
    <w:p w:rsidR="00717779" w:rsidRDefault="007325A2" w:rsidP="00A02052">
      <w:pPr>
        <w:rPr>
          <w:rFonts w:ascii="DIN Next W1G Light" w:hAnsi="DIN Next W1G Light"/>
        </w:rPr>
      </w:pPr>
      <w:hyperlink r:id="rId13">
        <w:r w:rsidR="000B05BD">
          <w:rPr>
            <w:rStyle w:val="Hyperlink"/>
            <w:rFonts w:ascii="DIN Next W1G Light" w:hAnsi="DIN Next W1G Light"/>
          </w:rPr>
          <w:t>office@valetandknave.com</w:t>
        </w:r>
      </w:hyperlink>
    </w:p>
    <w:p w:rsidR="00A02052" w:rsidRDefault="007325A2" w:rsidP="00A02052">
      <w:pPr>
        <w:rPr>
          <w:rFonts w:ascii="DIN Next W1G Light" w:hAnsi="DIN Next W1G Light"/>
        </w:rPr>
      </w:pPr>
      <w:hyperlink r:id="rId14">
        <w:r w:rsidR="000B05BD">
          <w:rPr>
            <w:rStyle w:val="Hyperlink"/>
            <w:rFonts w:ascii="DIN Next W1G Light" w:hAnsi="DIN Next W1G Light"/>
          </w:rPr>
          <w:t>ernestapp.com</w:t>
        </w:r>
      </w:hyperlink>
    </w:p>
    <w:p w:rsidR="00A02052" w:rsidRPr="008D6CFF" w:rsidRDefault="007325A2" w:rsidP="00A02052">
      <w:pPr>
        <w:rPr>
          <w:rFonts w:ascii="DIN Next W1G Light" w:hAnsi="DIN Next W1G Light"/>
        </w:rPr>
      </w:pPr>
      <w:hyperlink r:id="rId15">
        <w:r w:rsidR="000B05BD">
          <w:rPr>
            <w:rStyle w:val="Hyperlink"/>
            <w:rFonts w:ascii="DIN Next W1G Light" w:hAnsi="DIN Next W1G Light"/>
          </w:rPr>
          <w:t>Skype: VALETANDKNAVE</w:t>
        </w:r>
      </w:hyperlink>
    </w:p>
    <w:p w:rsidR="00496C3C" w:rsidRPr="00A02052" w:rsidRDefault="00496C3C" w:rsidP="00A02052">
      <w:pPr>
        <w:rPr>
          <w:rFonts w:ascii="DIN Next W1G Light" w:hAnsi="DIN Next W1G Light"/>
        </w:rPr>
      </w:pPr>
    </w:p>
    <w:sectPr w:rsidR="00496C3C" w:rsidRPr="00A0205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A2" w:rsidRDefault="007325A2" w:rsidP="00CD2A4C">
      <w:pPr>
        <w:spacing w:after="0" w:line="240" w:lineRule="auto"/>
      </w:pPr>
      <w:r>
        <w:separator/>
      </w:r>
    </w:p>
  </w:endnote>
  <w:endnote w:type="continuationSeparator" w:id="0">
    <w:p w:rsidR="007325A2" w:rsidRDefault="007325A2" w:rsidP="00C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W1G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A2" w:rsidRDefault="007325A2" w:rsidP="00CD2A4C">
      <w:pPr>
        <w:spacing w:after="0" w:line="240" w:lineRule="auto"/>
      </w:pPr>
      <w:r>
        <w:separator/>
      </w:r>
    </w:p>
  </w:footnote>
  <w:footnote w:type="continuationSeparator" w:id="0">
    <w:p w:rsidR="007325A2" w:rsidRDefault="007325A2" w:rsidP="00CD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CE" w:rsidRDefault="000A5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E5C"/>
    <w:multiLevelType w:val="hybridMultilevel"/>
    <w:tmpl w:val="2E78F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771C"/>
    <w:multiLevelType w:val="hybridMultilevel"/>
    <w:tmpl w:val="A2C01C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81786"/>
    <w:multiLevelType w:val="hybridMultilevel"/>
    <w:tmpl w:val="5BD8E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3ADC"/>
    <w:multiLevelType w:val="hybridMultilevel"/>
    <w:tmpl w:val="B700EF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2E35"/>
    <w:multiLevelType w:val="multilevel"/>
    <w:tmpl w:val="9976B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47D85AF0"/>
    <w:multiLevelType w:val="hybridMultilevel"/>
    <w:tmpl w:val="E4923C0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780A37"/>
    <w:multiLevelType w:val="hybridMultilevel"/>
    <w:tmpl w:val="8F74C4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E3E21"/>
    <w:multiLevelType w:val="hybridMultilevel"/>
    <w:tmpl w:val="408206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AE4E0A"/>
    <w:multiLevelType w:val="hybridMultilevel"/>
    <w:tmpl w:val="0B74A3F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08"/>
    <w:rsid w:val="00000B38"/>
    <w:rsid w:val="00003509"/>
    <w:rsid w:val="00015F87"/>
    <w:rsid w:val="00043EFE"/>
    <w:rsid w:val="000539C5"/>
    <w:rsid w:val="00073218"/>
    <w:rsid w:val="00085F72"/>
    <w:rsid w:val="0009197B"/>
    <w:rsid w:val="000971D7"/>
    <w:rsid w:val="000A52CE"/>
    <w:rsid w:val="000B05BD"/>
    <w:rsid w:val="000B1B83"/>
    <w:rsid w:val="000C622C"/>
    <w:rsid w:val="000F0CC1"/>
    <w:rsid w:val="00100A04"/>
    <w:rsid w:val="0010540E"/>
    <w:rsid w:val="001168DF"/>
    <w:rsid w:val="00117257"/>
    <w:rsid w:val="001262DC"/>
    <w:rsid w:val="001D0A0F"/>
    <w:rsid w:val="001E00D5"/>
    <w:rsid w:val="001E00DC"/>
    <w:rsid w:val="001E284D"/>
    <w:rsid w:val="001E4B9D"/>
    <w:rsid w:val="00201552"/>
    <w:rsid w:val="00212D71"/>
    <w:rsid w:val="00220534"/>
    <w:rsid w:val="00227D7C"/>
    <w:rsid w:val="002408DD"/>
    <w:rsid w:val="00261BAC"/>
    <w:rsid w:val="00267617"/>
    <w:rsid w:val="002676F3"/>
    <w:rsid w:val="002701D5"/>
    <w:rsid w:val="002A0894"/>
    <w:rsid w:val="002B00B0"/>
    <w:rsid w:val="002B7F42"/>
    <w:rsid w:val="002D08A0"/>
    <w:rsid w:val="0030045E"/>
    <w:rsid w:val="003129E6"/>
    <w:rsid w:val="003168DB"/>
    <w:rsid w:val="00341834"/>
    <w:rsid w:val="0035371B"/>
    <w:rsid w:val="00354795"/>
    <w:rsid w:val="0035577E"/>
    <w:rsid w:val="00364C60"/>
    <w:rsid w:val="00367AF7"/>
    <w:rsid w:val="00371A14"/>
    <w:rsid w:val="00372920"/>
    <w:rsid w:val="00375019"/>
    <w:rsid w:val="0038045B"/>
    <w:rsid w:val="003947CD"/>
    <w:rsid w:val="003A4204"/>
    <w:rsid w:val="003C1D43"/>
    <w:rsid w:val="003C3354"/>
    <w:rsid w:val="003C3A2C"/>
    <w:rsid w:val="003E1679"/>
    <w:rsid w:val="003E5105"/>
    <w:rsid w:val="003E6BAF"/>
    <w:rsid w:val="003F0DCD"/>
    <w:rsid w:val="003F19DB"/>
    <w:rsid w:val="003F252F"/>
    <w:rsid w:val="004161E7"/>
    <w:rsid w:val="00417B44"/>
    <w:rsid w:val="00421088"/>
    <w:rsid w:val="00430AD2"/>
    <w:rsid w:val="004315D1"/>
    <w:rsid w:val="00433113"/>
    <w:rsid w:val="00444277"/>
    <w:rsid w:val="0047118B"/>
    <w:rsid w:val="00471DC6"/>
    <w:rsid w:val="004858BB"/>
    <w:rsid w:val="004901BC"/>
    <w:rsid w:val="00495DC2"/>
    <w:rsid w:val="00496C3C"/>
    <w:rsid w:val="004B49A9"/>
    <w:rsid w:val="004C0B25"/>
    <w:rsid w:val="004C361E"/>
    <w:rsid w:val="004F0834"/>
    <w:rsid w:val="004F5C77"/>
    <w:rsid w:val="00501074"/>
    <w:rsid w:val="00531C67"/>
    <w:rsid w:val="00531E3A"/>
    <w:rsid w:val="00556DA3"/>
    <w:rsid w:val="005600A5"/>
    <w:rsid w:val="0056746F"/>
    <w:rsid w:val="00571578"/>
    <w:rsid w:val="00576FFF"/>
    <w:rsid w:val="005868DB"/>
    <w:rsid w:val="00594580"/>
    <w:rsid w:val="00596186"/>
    <w:rsid w:val="005A0734"/>
    <w:rsid w:val="005C2C20"/>
    <w:rsid w:val="005F421D"/>
    <w:rsid w:val="00603785"/>
    <w:rsid w:val="0061084E"/>
    <w:rsid w:val="00620100"/>
    <w:rsid w:val="006205D8"/>
    <w:rsid w:val="00635EC6"/>
    <w:rsid w:val="00642195"/>
    <w:rsid w:val="00666A68"/>
    <w:rsid w:val="006700C1"/>
    <w:rsid w:val="00693679"/>
    <w:rsid w:val="006B347A"/>
    <w:rsid w:val="006B4B44"/>
    <w:rsid w:val="006C0CCC"/>
    <w:rsid w:val="006C42EB"/>
    <w:rsid w:val="006C493F"/>
    <w:rsid w:val="006D297A"/>
    <w:rsid w:val="006D7351"/>
    <w:rsid w:val="006E5888"/>
    <w:rsid w:val="006E5EE6"/>
    <w:rsid w:val="006F2619"/>
    <w:rsid w:val="006F47F1"/>
    <w:rsid w:val="00703BD7"/>
    <w:rsid w:val="00717779"/>
    <w:rsid w:val="007211DF"/>
    <w:rsid w:val="007325A2"/>
    <w:rsid w:val="007329ED"/>
    <w:rsid w:val="007455CE"/>
    <w:rsid w:val="0074712A"/>
    <w:rsid w:val="00760B99"/>
    <w:rsid w:val="0076554D"/>
    <w:rsid w:val="007776F0"/>
    <w:rsid w:val="007C2DA8"/>
    <w:rsid w:val="007D0316"/>
    <w:rsid w:val="007D2945"/>
    <w:rsid w:val="007E6971"/>
    <w:rsid w:val="007F29B8"/>
    <w:rsid w:val="007F3B51"/>
    <w:rsid w:val="007F5E18"/>
    <w:rsid w:val="00802503"/>
    <w:rsid w:val="008032B7"/>
    <w:rsid w:val="008138D5"/>
    <w:rsid w:val="008522D6"/>
    <w:rsid w:val="00857123"/>
    <w:rsid w:val="00863F06"/>
    <w:rsid w:val="008910C8"/>
    <w:rsid w:val="0089152B"/>
    <w:rsid w:val="00893BFA"/>
    <w:rsid w:val="008B3D7B"/>
    <w:rsid w:val="008D4850"/>
    <w:rsid w:val="008D4C8E"/>
    <w:rsid w:val="008D5E44"/>
    <w:rsid w:val="008F0F04"/>
    <w:rsid w:val="008F6EF3"/>
    <w:rsid w:val="00902064"/>
    <w:rsid w:val="0092009F"/>
    <w:rsid w:val="00930CA5"/>
    <w:rsid w:val="00932754"/>
    <w:rsid w:val="0093788A"/>
    <w:rsid w:val="00937B1B"/>
    <w:rsid w:val="0094503E"/>
    <w:rsid w:val="0096606E"/>
    <w:rsid w:val="00967373"/>
    <w:rsid w:val="00973F77"/>
    <w:rsid w:val="00974A67"/>
    <w:rsid w:val="00986787"/>
    <w:rsid w:val="00993395"/>
    <w:rsid w:val="009B6CD7"/>
    <w:rsid w:val="009E2E1F"/>
    <w:rsid w:val="00A02052"/>
    <w:rsid w:val="00A027E7"/>
    <w:rsid w:val="00A21248"/>
    <w:rsid w:val="00A257D1"/>
    <w:rsid w:val="00A279E3"/>
    <w:rsid w:val="00A3237E"/>
    <w:rsid w:val="00A41405"/>
    <w:rsid w:val="00A53049"/>
    <w:rsid w:val="00A5331E"/>
    <w:rsid w:val="00A5574A"/>
    <w:rsid w:val="00A5603F"/>
    <w:rsid w:val="00A904BC"/>
    <w:rsid w:val="00A924A5"/>
    <w:rsid w:val="00AA30A9"/>
    <w:rsid w:val="00AA756A"/>
    <w:rsid w:val="00AC63BB"/>
    <w:rsid w:val="00AE1994"/>
    <w:rsid w:val="00AE5EB7"/>
    <w:rsid w:val="00AF0B76"/>
    <w:rsid w:val="00AF29C0"/>
    <w:rsid w:val="00AF6C7B"/>
    <w:rsid w:val="00B0633B"/>
    <w:rsid w:val="00B10B58"/>
    <w:rsid w:val="00B314F4"/>
    <w:rsid w:val="00B55859"/>
    <w:rsid w:val="00B63E40"/>
    <w:rsid w:val="00B64E1A"/>
    <w:rsid w:val="00B734A9"/>
    <w:rsid w:val="00B73B73"/>
    <w:rsid w:val="00B76682"/>
    <w:rsid w:val="00BA53F6"/>
    <w:rsid w:val="00BB0F9E"/>
    <w:rsid w:val="00BB4914"/>
    <w:rsid w:val="00BE2932"/>
    <w:rsid w:val="00C03FF2"/>
    <w:rsid w:val="00C11010"/>
    <w:rsid w:val="00C17216"/>
    <w:rsid w:val="00C21BDA"/>
    <w:rsid w:val="00C31EAF"/>
    <w:rsid w:val="00C364CE"/>
    <w:rsid w:val="00C56C21"/>
    <w:rsid w:val="00C62692"/>
    <w:rsid w:val="00C62B9D"/>
    <w:rsid w:val="00C645F7"/>
    <w:rsid w:val="00C84E36"/>
    <w:rsid w:val="00CA36AA"/>
    <w:rsid w:val="00CB2BB1"/>
    <w:rsid w:val="00CB4E08"/>
    <w:rsid w:val="00CC4E62"/>
    <w:rsid w:val="00CD0A2A"/>
    <w:rsid w:val="00CD2A4C"/>
    <w:rsid w:val="00CD3157"/>
    <w:rsid w:val="00CD3B7B"/>
    <w:rsid w:val="00CD7895"/>
    <w:rsid w:val="00CE3E8D"/>
    <w:rsid w:val="00CE7C58"/>
    <w:rsid w:val="00CF18F9"/>
    <w:rsid w:val="00CF2FB2"/>
    <w:rsid w:val="00CF6ED1"/>
    <w:rsid w:val="00CF7917"/>
    <w:rsid w:val="00D032AC"/>
    <w:rsid w:val="00D15065"/>
    <w:rsid w:val="00D202DF"/>
    <w:rsid w:val="00D220B3"/>
    <w:rsid w:val="00D4261A"/>
    <w:rsid w:val="00D44CB8"/>
    <w:rsid w:val="00D72934"/>
    <w:rsid w:val="00D80E57"/>
    <w:rsid w:val="00D8358B"/>
    <w:rsid w:val="00DA128D"/>
    <w:rsid w:val="00DA1384"/>
    <w:rsid w:val="00DA3A72"/>
    <w:rsid w:val="00DB522E"/>
    <w:rsid w:val="00DC529F"/>
    <w:rsid w:val="00DD1C06"/>
    <w:rsid w:val="00DD4D43"/>
    <w:rsid w:val="00DD5BCA"/>
    <w:rsid w:val="00DF58E0"/>
    <w:rsid w:val="00E063AA"/>
    <w:rsid w:val="00E23D6A"/>
    <w:rsid w:val="00E33A43"/>
    <w:rsid w:val="00E4335B"/>
    <w:rsid w:val="00E63469"/>
    <w:rsid w:val="00E730CB"/>
    <w:rsid w:val="00E76629"/>
    <w:rsid w:val="00E771EF"/>
    <w:rsid w:val="00E84A82"/>
    <w:rsid w:val="00E90E62"/>
    <w:rsid w:val="00E93776"/>
    <w:rsid w:val="00EA4268"/>
    <w:rsid w:val="00EA5F4C"/>
    <w:rsid w:val="00ED4BD0"/>
    <w:rsid w:val="00EE5446"/>
    <w:rsid w:val="00F119B4"/>
    <w:rsid w:val="00F34A8A"/>
    <w:rsid w:val="00F43DE2"/>
    <w:rsid w:val="00F5079E"/>
    <w:rsid w:val="00F50B99"/>
    <w:rsid w:val="00F5353C"/>
    <w:rsid w:val="00F5730E"/>
    <w:rsid w:val="00F64C26"/>
    <w:rsid w:val="00FC0CFD"/>
    <w:rsid w:val="00FC1FB8"/>
    <w:rsid w:val="00FC304C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C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020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A4C"/>
  </w:style>
  <w:style w:type="paragraph" w:styleId="Footer">
    <w:name w:val="footer"/>
    <w:basedOn w:val="Normal"/>
    <w:link w:val="FooterChar"/>
    <w:uiPriority w:val="99"/>
    <w:unhideWhenUsed/>
    <w:rsid w:val="00CD2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valetandknav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skype:VALETANDKNAVE?ca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rnestapp.com/l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795F-0D19-4EF5-B071-FBB52E5C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2016-09-26T12:07:00Z</dcterms:created>
  <dcterms:modified xsi:type="dcterms:W3CDTF">2016-09-26T12:07:00Z</dcterms:modified>
</cp:coreProperties>
</file>